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6" w:rsidRPr="00954CAA" w:rsidRDefault="00F6095E" w:rsidP="00954CAA">
      <w:pPr>
        <w:pStyle w:val="Title"/>
        <w:pBdr>
          <w:top w:val="threeDEmboss" w:sz="24" w:space="1" w:color="00B050"/>
          <w:left w:val="threeDEmboss" w:sz="24" w:space="4" w:color="00B050"/>
          <w:bottom w:val="threeDEmboss" w:sz="24" w:space="1" w:color="00B050"/>
          <w:right w:val="threeDEmboss" w:sz="24" w:space="4" w:color="00B050"/>
        </w:pBdr>
        <w:shd w:val="clear" w:color="auto" w:fill="FFFFFF" w:themeFill="background1"/>
        <w:rPr>
          <w:i/>
        </w:rPr>
      </w:pPr>
      <w:bookmarkStart w:id="0" w:name="_GoBack"/>
      <w:bookmarkEnd w:id="0"/>
      <w:r w:rsidRPr="00954CAA">
        <w:rPr>
          <w:i/>
        </w:rPr>
        <w:t xml:space="preserve">Texas </w:t>
      </w:r>
      <w:proofErr w:type="gramStart"/>
      <w:r w:rsidRPr="00954CAA">
        <w:rPr>
          <w:i/>
        </w:rPr>
        <w:t>A&amp;M</w:t>
      </w:r>
      <w:proofErr w:type="gramEnd"/>
      <w:r w:rsidRPr="00954CAA">
        <w:rPr>
          <w:i/>
        </w:rPr>
        <w:t xml:space="preserve"> </w:t>
      </w:r>
      <w:r w:rsidR="001B45F8" w:rsidRPr="00954CAA">
        <w:rPr>
          <w:i/>
        </w:rPr>
        <w:t>G</w:t>
      </w:r>
      <w:r w:rsidR="000E6F85" w:rsidRPr="00954CAA">
        <w:rPr>
          <w:i/>
        </w:rPr>
        <w:t xml:space="preserve">IST – </w:t>
      </w:r>
      <w:r w:rsidR="00CF0071" w:rsidRPr="00954CAA">
        <w:rPr>
          <w:i/>
        </w:rPr>
        <w:t xml:space="preserve">Earth Systems </w:t>
      </w:r>
      <w:r w:rsidR="00AB677C" w:rsidRPr="00954CAA">
        <w:rPr>
          <w:i/>
        </w:rPr>
        <w:t>Analysis</w:t>
      </w:r>
      <w:r w:rsidR="000E6F85" w:rsidRPr="00954CAA">
        <w:rPr>
          <w:i/>
        </w:rPr>
        <w:t xml:space="preserve"> (</w:t>
      </w:r>
      <w:r w:rsidR="00CF0071" w:rsidRPr="00954CAA">
        <w:rPr>
          <w:i/>
        </w:rPr>
        <w:t>ESA</w:t>
      </w:r>
      <w:r w:rsidR="000E6F85" w:rsidRPr="00954CAA">
        <w:rPr>
          <w:i/>
        </w:rPr>
        <w:t>)</w:t>
      </w:r>
      <w:r w:rsidR="00B351F2" w:rsidRPr="00954CAA">
        <w:rPr>
          <w:i/>
        </w:rPr>
        <w:t xml:space="preserve"> </w:t>
      </w:r>
      <w:r w:rsidR="000E6F85" w:rsidRPr="00954CAA">
        <w:rPr>
          <w:i/>
        </w:rPr>
        <w:t>track</w:t>
      </w:r>
      <w:r w:rsidR="001B45F8" w:rsidRPr="00954CAA">
        <w:rPr>
          <w:i/>
        </w:rPr>
        <w:t xml:space="preserve"> </w:t>
      </w:r>
      <w:r w:rsidRPr="00954CAA">
        <w:rPr>
          <w:i/>
        </w:rPr>
        <w:t xml:space="preserve">starts at </w:t>
      </w:r>
      <w:r w:rsidR="005055A7" w:rsidRPr="00954CAA">
        <w:rPr>
          <w:i/>
        </w:rPr>
        <w:t>B</w:t>
      </w:r>
      <w:r w:rsidR="00954CAA">
        <w:rPr>
          <w:i/>
        </w:rPr>
        <w:t>rookhaven</w:t>
      </w:r>
      <w:r w:rsidR="00B61612" w:rsidRPr="00954CAA">
        <w:rPr>
          <w:i/>
        </w:rPr>
        <w:t xml:space="preserve"> College</w:t>
      </w:r>
      <w:r w:rsidR="00D95163" w:rsidRPr="00954CAA">
        <w:rPr>
          <w:i/>
        </w:rPr>
        <w:t xml:space="preserve"> 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r w:rsidR="005055A7">
        <w:rPr>
          <w:rStyle w:val="Strong"/>
          <w:rFonts w:ascii="Garamond" w:hAnsi="Garamond"/>
          <w:sz w:val="22"/>
          <w:szCs w:val="22"/>
        </w:rPr>
        <w:t>B</w:t>
      </w:r>
      <w:r w:rsidR="00954CAA">
        <w:rPr>
          <w:rStyle w:val="Strong"/>
          <w:rFonts w:ascii="Garamond" w:hAnsi="Garamond"/>
          <w:sz w:val="22"/>
          <w:szCs w:val="22"/>
        </w:rPr>
        <w:t>rookhaven</w:t>
      </w:r>
      <w:r w:rsidR="0009483C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09483C" w:rsidRPr="0009483C">
        <w:rPr>
          <w:rStyle w:val="Strong"/>
          <w:rFonts w:ascii="Garamond" w:hAnsi="Garamond"/>
          <w:sz w:val="22"/>
          <w:szCs w:val="22"/>
        </w:rPr>
        <w:t>C</w:t>
      </w:r>
      <w:r w:rsidR="002960BD" w:rsidRPr="002960BD">
        <w:rPr>
          <w:rStyle w:val="Strong"/>
          <w:rFonts w:ascii="Garamond" w:hAnsi="Garamond"/>
          <w:sz w:val="22"/>
          <w:szCs w:val="22"/>
        </w:rPr>
        <w:t>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954CAA">
        <w:rPr>
          <w:rStyle w:val="Strong"/>
          <w:rFonts w:ascii="Garamond" w:hAnsi="Garamond"/>
          <w:i/>
          <w:sz w:val="22"/>
          <w:szCs w:val="22"/>
        </w:rPr>
        <w:t>Brookhaven</w:t>
      </w:r>
      <w:r w:rsidR="002960BD" w:rsidRPr="002960BD">
        <w:rPr>
          <w:rStyle w:val="Strong"/>
          <w:rFonts w:ascii="Garamond" w:hAnsi="Garamond"/>
          <w:i/>
          <w:sz w:val="22"/>
          <w:szCs w:val="22"/>
        </w:rPr>
        <w:t xml:space="preserve"> College</w:t>
      </w:r>
      <w:r w:rsidR="00246340" w:rsidRPr="007C4C47">
        <w:rPr>
          <w:rStyle w:val="Strong"/>
          <w:rFonts w:ascii="Garamond" w:hAnsi="Garamond"/>
          <w:i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6C0169" w:rsidRPr="00CE611E" w:rsidRDefault="006C0169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CE611E">
        <w:rPr>
          <w:b/>
          <w:bCs/>
          <w:sz w:val="20"/>
          <w:szCs w:val="20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0E6F85" w:rsidTr="00954CAA">
        <w:tc>
          <w:tcPr>
            <w:tcW w:w="3978" w:type="dxa"/>
            <w:shd w:val="clear" w:color="auto" w:fill="99CC00"/>
          </w:tcPr>
          <w:p w:rsidR="006C0169" w:rsidRPr="005055A7" w:rsidRDefault="00D56D89" w:rsidP="00D56D89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99CC00"/>
          </w:tcPr>
          <w:p w:rsidR="006C0169" w:rsidRPr="005055A7" w:rsidRDefault="006C01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F6095E" w:rsidP="008C530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661401"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661401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1324</w:t>
            </w:r>
          </w:p>
        </w:tc>
        <w:tc>
          <w:tcPr>
            <w:tcW w:w="990" w:type="dxa"/>
          </w:tcPr>
          <w:p w:rsidR="006C0169" w:rsidRPr="00661401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8C5307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HIST 1301</w:t>
            </w:r>
          </w:p>
        </w:tc>
        <w:tc>
          <w:tcPr>
            <w:tcW w:w="990" w:type="dxa"/>
          </w:tcPr>
          <w:p w:rsidR="006C0169" w:rsidRPr="00661401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661401" w:rsidTr="00B501C1">
        <w:tc>
          <w:tcPr>
            <w:tcW w:w="3978" w:type="dxa"/>
          </w:tcPr>
          <w:p w:rsidR="00B30988" w:rsidRPr="00661401" w:rsidRDefault="007C4C47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 xml:space="preserve">1 or </w:t>
            </w:r>
            <w:r w:rsidRPr="00661401">
              <w:rPr>
                <w:rFonts w:ascii="Garamond" w:hAnsi="Garamond"/>
                <w:sz w:val="20"/>
                <w:szCs w:val="20"/>
              </w:rPr>
              <w:t>130</w:t>
            </w:r>
            <w:r w:rsidR="000E6F85" w:rsidRPr="00661401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30988" w:rsidRPr="00661401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8C5307" w:rsidRPr="00661401" w:rsidTr="00B501C1">
        <w:tc>
          <w:tcPr>
            <w:tcW w:w="3978" w:type="dxa"/>
          </w:tcPr>
          <w:p w:rsidR="008C5307" w:rsidRPr="00661401" w:rsidRDefault="008C5307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Lab Science</w:t>
            </w:r>
            <w:r w:rsidR="0078339D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:rsidR="008C5307" w:rsidRPr="00661401" w:rsidRDefault="008C530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BB5D3B" w:rsidRPr="00661401" w:rsidTr="00B501C1">
        <w:tc>
          <w:tcPr>
            <w:tcW w:w="3978" w:type="dxa"/>
          </w:tcPr>
          <w:p w:rsidR="00BB5D3B" w:rsidRPr="00661401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661401" w:rsidRDefault="008C5307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954CAA">
        <w:tc>
          <w:tcPr>
            <w:tcW w:w="3978" w:type="dxa"/>
            <w:shd w:val="clear" w:color="auto" w:fill="009E47"/>
          </w:tcPr>
          <w:p w:rsidR="006C0169" w:rsidRPr="005055A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009E47"/>
          </w:tcPr>
          <w:p w:rsidR="006C0169" w:rsidRPr="005055A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8C530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1302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141C01">
              <w:rPr>
                <w:rFonts w:ascii="Garamond" w:hAnsi="Garamond"/>
                <w:bCs/>
                <w:sz w:val="20"/>
                <w:szCs w:val="20"/>
              </w:rPr>
              <w:t>14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25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8C530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HIST 1302</w:t>
            </w:r>
          </w:p>
        </w:tc>
        <w:tc>
          <w:tcPr>
            <w:tcW w:w="990" w:type="dxa"/>
          </w:tcPr>
          <w:p w:rsidR="006C0169" w:rsidRPr="00661401" w:rsidRDefault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21DE5" w:rsidRPr="00661401" w:rsidTr="00B501C1">
        <w:tc>
          <w:tcPr>
            <w:tcW w:w="3978" w:type="dxa"/>
          </w:tcPr>
          <w:p w:rsidR="00B21DE5" w:rsidRPr="00661401" w:rsidRDefault="000E6F85" w:rsidP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1301 or 1302</w:t>
            </w:r>
          </w:p>
        </w:tc>
        <w:tc>
          <w:tcPr>
            <w:tcW w:w="990" w:type="dxa"/>
          </w:tcPr>
          <w:p w:rsidR="00B21DE5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AD7951" w:rsidRPr="00661401" w:rsidTr="00B501C1">
        <w:tc>
          <w:tcPr>
            <w:tcW w:w="3978" w:type="dxa"/>
          </w:tcPr>
          <w:p w:rsidR="00AD7951" w:rsidRPr="00661401" w:rsidRDefault="007C4C4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L</w:t>
            </w:r>
            <w:r w:rsidR="008C5307">
              <w:rPr>
                <w:rFonts w:ascii="Garamond" w:hAnsi="Garamond"/>
                <w:sz w:val="20"/>
                <w:szCs w:val="20"/>
              </w:rPr>
              <w:t>ab Science</w:t>
            </w:r>
            <w:r w:rsidR="0078339D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990" w:type="dxa"/>
          </w:tcPr>
          <w:p w:rsidR="00AD7951" w:rsidRPr="00661401" w:rsidRDefault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AD7951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7C4C47" w:rsidRPr="00661401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954CAA">
        <w:tc>
          <w:tcPr>
            <w:tcW w:w="3978" w:type="dxa"/>
            <w:shd w:val="clear" w:color="auto" w:fill="99CC00"/>
          </w:tcPr>
          <w:p w:rsidR="006C0169" w:rsidRPr="005055A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99CC00"/>
          </w:tcPr>
          <w:p w:rsidR="006C0169" w:rsidRPr="005055A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8C530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ENGL 2332</w:t>
            </w:r>
          </w:p>
        </w:tc>
        <w:tc>
          <w:tcPr>
            <w:tcW w:w="990" w:type="dxa"/>
          </w:tcPr>
          <w:p w:rsidR="006C0169" w:rsidRPr="00661401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8C530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661401" w:rsidRDefault="007C4C47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8C530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SPCH 1315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8C530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ARTS 1301</w:t>
            </w:r>
          </w:p>
        </w:tc>
        <w:tc>
          <w:tcPr>
            <w:tcW w:w="990" w:type="dxa"/>
          </w:tcPr>
          <w:p w:rsidR="006C0169" w:rsidRPr="00661401" w:rsidRDefault="008C53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D10655" w:rsidRPr="00661401" w:rsidTr="00B501C1">
        <w:tc>
          <w:tcPr>
            <w:tcW w:w="3978" w:type="dxa"/>
          </w:tcPr>
          <w:p w:rsidR="00D10655" w:rsidRPr="00661401" w:rsidRDefault="008C530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 elective</w:t>
            </w:r>
            <w:r w:rsidR="00EE0C8A">
              <w:rPr>
                <w:rFonts w:ascii="Garamond" w:hAnsi="Garamond"/>
                <w:sz w:val="20"/>
                <w:szCs w:val="20"/>
              </w:rPr>
              <w:t xml:space="preserve"> (math, science or computer sci)</w:t>
            </w:r>
          </w:p>
        </w:tc>
        <w:tc>
          <w:tcPr>
            <w:tcW w:w="990" w:type="dxa"/>
          </w:tcPr>
          <w:p w:rsidR="00D10655" w:rsidRPr="00661401" w:rsidRDefault="00D1065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8C53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954CAA">
        <w:tc>
          <w:tcPr>
            <w:tcW w:w="3978" w:type="dxa"/>
            <w:shd w:val="clear" w:color="auto" w:fill="009E47"/>
          </w:tcPr>
          <w:p w:rsidR="006C0169" w:rsidRPr="005055A7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009E47"/>
          </w:tcPr>
          <w:p w:rsidR="006C0169" w:rsidRPr="005055A7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BB787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CE611E" w:rsidRPr="00661401" w:rsidTr="00B501C1">
        <w:tc>
          <w:tcPr>
            <w:tcW w:w="3978" w:type="dxa"/>
          </w:tcPr>
          <w:p w:rsidR="00CE611E" w:rsidRPr="00661401" w:rsidRDefault="00BB787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PSYC 2301</w:t>
            </w:r>
          </w:p>
        </w:tc>
        <w:tc>
          <w:tcPr>
            <w:tcW w:w="990" w:type="dxa"/>
          </w:tcPr>
          <w:p w:rsidR="00CE611E" w:rsidRPr="00661401" w:rsidRDefault="00BB787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BB787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GISC 1411</w:t>
            </w:r>
          </w:p>
        </w:tc>
        <w:tc>
          <w:tcPr>
            <w:tcW w:w="990" w:type="dxa"/>
          </w:tcPr>
          <w:p w:rsidR="006C0169" w:rsidRPr="00661401" w:rsidRDefault="00BB787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BB787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6C0169" w:rsidRPr="00661401" w:rsidRDefault="00BB787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7C4C47" w:rsidRPr="00661401" w:rsidTr="00B501C1">
        <w:tc>
          <w:tcPr>
            <w:tcW w:w="3978" w:type="dxa"/>
          </w:tcPr>
          <w:p w:rsidR="007C4C47" w:rsidRPr="00661401" w:rsidRDefault="00BB787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General elective</w:t>
            </w:r>
          </w:p>
        </w:tc>
        <w:tc>
          <w:tcPr>
            <w:tcW w:w="990" w:type="dxa"/>
          </w:tcPr>
          <w:p w:rsidR="007C4C47" w:rsidRPr="00661401" w:rsidRDefault="00BB7870" w:rsidP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E6F85" w:rsidRPr="00661401" w:rsidTr="00B501C1">
        <w:tc>
          <w:tcPr>
            <w:tcW w:w="3978" w:type="dxa"/>
          </w:tcPr>
          <w:p w:rsidR="000E6F85" w:rsidRPr="00661401" w:rsidRDefault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0E6F85" w:rsidRPr="00661401" w:rsidRDefault="00BB7870" w:rsidP="005943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</w:tr>
    </w:tbl>
    <w:p w:rsidR="007C4C47" w:rsidRPr="00661401" w:rsidRDefault="007C4C47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</w:p>
    <w:p w:rsidR="00CE611E" w:rsidRPr="000301B8" w:rsidRDefault="00CE611E" w:rsidP="00CE611E">
      <w:pPr>
        <w:pStyle w:val="BodyText"/>
        <w:jc w:val="lef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 Degree completed at Brookhaven College</w:t>
      </w:r>
    </w:p>
    <w:p w:rsidR="006C0169" w:rsidRPr="005055A7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5055A7">
        <w:rPr>
          <w:b/>
          <w:bCs/>
          <w:sz w:val="20"/>
          <w:szCs w:val="20"/>
        </w:rPr>
        <w:lastRenderedPageBreak/>
        <w:t>M</w:t>
      </w:r>
      <w:r w:rsidR="006C0169" w:rsidRPr="005055A7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661401" w:rsidTr="00954CAA">
        <w:trPr>
          <w:jc w:val="center"/>
        </w:trPr>
        <w:tc>
          <w:tcPr>
            <w:tcW w:w="4932" w:type="dxa"/>
            <w:shd w:val="clear" w:color="auto" w:fill="99CC00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954CA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661401" w:rsidTr="00B501C1">
        <w:trPr>
          <w:jc w:val="center"/>
        </w:trPr>
        <w:tc>
          <w:tcPr>
            <w:tcW w:w="4932" w:type="dxa"/>
          </w:tcPr>
          <w:p w:rsidR="006C0169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661401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661401" w:rsidTr="00B501C1">
        <w:trPr>
          <w:jc w:val="center"/>
        </w:trPr>
        <w:tc>
          <w:tcPr>
            <w:tcW w:w="4932" w:type="dxa"/>
          </w:tcPr>
          <w:p w:rsidR="00B501C1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661401" w:rsidTr="00B501C1">
        <w:trPr>
          <w:jc w:val="center"/>
        </w:trPr>
        <w:tc>
          <w:tcPr>
            <w:tcW w:w="4932" w:type="dxa"/>
          </w:tcPr>
          <w:p w:rsidR="00E46D2F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371CFD" w:rsidRPr="00661401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954CAA">
        <w:trPr>
          <w:jc w:val="center"/>
        </w:trPr>
        <w:tc>
          <w:tcPr>
            <w:tcW w:w="4797" w:type="dxa"/>
            <w:shd w:val="clear" w:color="auto" w:fill="009E47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506EFB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661401" w:rsidTr="00B501C1">
        <w:trPr>
          <w:jc w:val="center"/>
        </w:trPr>
        <w:tc>
          <w:tcPr>
            <w:tcW w:w="4797" w:type="dxa"/>
          </w:tcPr>
          <w:p w:rsidR="00251A4E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506EFB" w:rsidRPr="00661401" w:rsidRDefault="00506EFB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954CAA">
        <w:trPr>
          <w:jc w:val="center"/>
        </w:trPr>
        <w:tc>
          <w:tcPr>
            <w:tcW w:w="4797" w:type="dxa"/>
            <w:shd w:val="clear" w:color="auto" w:fill="99CC00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5055A7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661401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26491D" w:rsidRPr="00661401" w:rsidRDefault="0026491D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6C0169" w:rsidRPr="00661401" w:rsidTr="00954CAA">
        <w:trPr>
          <w:jc w:val="center"/>
        </w:trPr>
        <w:tc>
          <w:tcPr>
            <w:tcW w:w="4707" w:type="dxa"/>
            <w:shd w:val="clear" w:color="auto" w:fill="009E47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2"/>
                <w:szCs w:val="22"/>
              </w:rPr>
            </w:pPr>
            <w:r w:rsidRPr="005055A7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SEMESTER</w:t>
            </w:r>
            <w:r w:rsidR="006C0169" w:rsidRPr="005055A7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  <w:r w:rsidR="00470480" w:rsidRPr="005055A7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– Aggies Commit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E74C3D" w:rsidP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 xml:space="preserve">Meet with your TAMU major advisor 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47048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AB677C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40"/>
          <w:szCs w:val="40"/>
        </w:rPr>
      </w:pPr>
      <w:r w:rsidRPr="00AB677C">
        <w:rPr>
          <w:i/>
          <w:sz w:val="40"/>
          <w:szCs w:val="40"/>
        </w:rPr>
        <w:lastRenderedPageBreak/>
        <w:t xml:space="preserve">From </w:t>
      </w:r>
      <w:r w:rsidR="00954CAA">
        <w:rPr>
          <w:i/>
          <w:sz w:val="40"/>
          <w:szCs w:val="40"/>
        </w:rPr>
        <w:t>Brookhaven</w:t>
      </w:r>
      <w:r w:rsidR="00B61612" w:rsidRPr="00AB677C">
        <w:rPr>
          <w:i/>
          <w:sz w:val="40"/>
          <w:szCs w:val="40"/>
        </w:rPr>
        <w:t xml:space="preserve"> College</w:t>
      </w:r>
      <w:r w:rsidRPr="00AB677C">
        <w:rPr>
          <w:i/>
          <w:sz w:val="40"/>
          <w:szCs w:val="40"/>
        </w:rPr>
        <w:t xml:space="preserve"> to Texas A&amp;M</w:t>
      </w:r>
    </w:p>
    <w:p w:rsidR="006C0169" w:rsidRPr="00AB677C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 w:val="40"/>
          <w:szCs w:val="40"/>
        </w:rPr>
      </w:pPr>
      <w:r w:rsidRPr="00AB677C">
        <w:rPr>
          <w:i/>
          <w:sz w:val="40"/>
          <w:szCs w:val="40"/>
        </w:rPr>
        <w:t xml:space="preserve"> </w:t>
      </w:r>
      <w:r w:rsidR="008F7DC6" w:rsidRPr="00AB677C">
        <w:rPr>
          <w:i/>
          <w:sz w:val="40"/>
          <w:szCs w:val="40"/>
        </w:rPr>
        <w:t xml:space="preserve">Pathway to </w:t>
      </w:r>
      <w:r w:rsidR="007C4C47" w:rsidRPr="00AB677C">
        <w:rPr>
          <w:i/>
          <w:sz w:val="40"/>
          <w:szCs w:val="40"/>
        </w:rPr>
        <w:t>G</w:t>
      </w:r>
      <w:r w:rsidR="00775BF8" w:rsidRPr="00AB677C">
        <w:rPr>
          <w:i/>
          <w:sz w:val="40"/>
          <w:szCs w:val="40"/>
        </w:rPr>
        <w:t xml:space="preserve">IST – </w:t>
      </w:r>
      <w:r w:rsidR="00CF0071">
        <w:rPr>
          <w:i/>
          <w:sz w:val="40"/>
          <w:szCs w:val="40"/>
        </w:rPr>
        <w:t>Earth Systems</w:t>
      </w:r>
      <w:r w:rsidR="00AB677C" w:rsidRPr="00AB677C">
        <w:rPr>
          <w:i/>
          <w:sz w:val="40"/>
          <w:szCs w:val="40"/>
        </w:rPr>
        <w:t xml:space="preserve"> Analysis 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 w:rsidP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332 or 232</w:t>
            </w:r>
            <w:r>
              <w:rPr>
                <w:rFonts w:ascii="Garamond" w:hAnsi="Garamond"/>
                <w:bCs/>
                <w:sz w:val="22"/>
                <w:szCs w:val="22"/>
              </w:rPr>
              <w:t>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324, 331 OR 335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304, 306, 311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213 Planet Earth Lab</w:t>
            </w:r>
          </w:p>
        </w:tc>
        <w:tc>
          <w:tcPr>
            <w:tcW w:w="828" w:type="dxa"/>
          </w:tcPr>
          <w:p w:rsidR="0059434A" w:rsidRPr="003456C0" w:rsidRDefault="0059434A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CE611E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352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475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AB677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304, 306, 311 or</w:t>
            </w:r>
            <w:r w:rsidR="0059434A">
              <w:rPr>
                <w:rFonts w:ascii="Garamond" w:hAnsi="Garamond"/>
                <w:sz w:val="22"/>
                <w:szCs w:val="22"/>
              </w:rPr>
              <w:t xml:space="preserve"> 401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312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59434A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59434A">
              <w:rPr>
                <w:rFonts w:ascii="Garamond" w:hAnsi="Garamond"/>
                <w:sz w:val="22"/>
                <w:szCs w:val="22"/>
              </w:rPr>
              <w:t>361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AB677C" w:rsidP="00CF0071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GEOG </w:t>
            </w:r>
            <w:r w:rsidR="00CF0071">
              <w:rPr>
                <w:rFonts w:ascii="Garamond" w:hAnsi="Garamond"/>
                <w:sz w:val="22"/>
                <w:szCs w:val="22"/>
              </w:rPr>
              <w:t>477</w:t>
            </w:r>
            <w:r>
              <w:rPr>
                <w:rFonts w:ascii="Garamond" w:hAnsi="Garamond"/>
                <w:sz w:val="22"/>
                <w:szCs w:val="22"/>
              </w:rPr>
              <w:t xml:space="preserve"> or  47</w:t>
            </w:r>
            <w:r w:rsidR="00CF0071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828" w:type="dxa"/>
          </w:tcPr>
          <w:p w:rsidR="008405AC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59434A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Directed Electives</w:t>
            </w:r>
          </w:p>
        </w:tc>
        <w:tc>
          <w:tcPr>
            <w:tcW w:w="828" w:type="dxa"/>
          </w:tcPr>
          <w:p w:rsidR="00B91FFF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CF0071" w:rsidP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477 or 479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AD7951">
        <w:tc>
          <w:tcPr>
            <w:tcW w:w="4428" w:type="dxa"/>
          </w:tcPr>
          <w:p w:rsidR="00AD7951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476</w:t>
            </w:r>
          </w:p>
        </w:tc>
        <w:tc>
          <w:tcPr>
            <w:tcW w:w="828" w:type="dxa"/>
          </w:tcPr>
          <w:p w:rsidR="00AD7951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ESSM 459 (Spatial Databases)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Directed Elective</w:t>
            </w:r>
          </w:p>
        </w:tc>
        <w:tc>
          <w:tcPr>
            <w:tcW w:w="828" w:type="dxa"/>
          </w:tcPr>
          <w:p w:rsidR="006C0169" w:rsidRDefault="00CF0071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59434A" w:rsidP="00AB67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CF0071">
              <w:rPr>
                <w:rFonts w:ascii="Garamond" w:hAnsi="Garamond"/>
              </w:rPr>
              <w:t>3</w:t>
            </w:r>
          </w:p>
        </w:tc>
      </w:tr>
    </w:tbl>
    <w:p w:rsidR="005B7C7A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*Science Sequences: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1) BIOL 1406 &amp; 1407 or BIOL 1411 &amp; 1413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2) CHEM 1411 &amp; 1412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3) GEOL 1403 &amp; 1404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4) PHYS 1401 &amp; 1402</w:t>
      </w:r>
    </w:p>
    <w:p w:rsidR="0059434A" w:rsidRDefault="0059434A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0" w:rsidRDefault="003456C0" w:rsidP="00F57007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Texas A&amp;M Academic Advisor for this major:  </w:t>
      </w:r>
      <w:r w:rsidR="0021269A">
        <w:rPr>
          <w:rFonts w:ascii="Garamond" w:hAnsi="Garamond"/>
          <w:sz w:val="20"/>
          <w:szCs w:val="20"/>
        </w:rPr>
        <w:t>Kristi Wolff</w:t>
      </w:r>
    </w:p>
    <w:p w:rsidR="00CE611E" w:rsidRDefault="00CE611E" w:rsidP="00F57007">
      <w:pPr>
        <w:jc w:val="center"/>
        <w:rPr>
          <w:b/>
          <w:sz w:val="18"/>
          <w:szCs w:val="18"/>
        </w:rPr>
      </w:pPr>
    </w:p>
    <w:sectPr w:rsidR="00CE611E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07CC7"/>
    <w:rsid w:val="0001560D"/>
    <w:rsid w:val="000214E5"/>
    <w:rsid w:val="000226E0"/>
    <w:rsid w:val="00024C70"/>
    <w:rsid w:val="000607D1"/>
    <w:rsid w:val="00062020"/>
    <w:rsid w:val="00073A3E"/>
    <w:rsid w:val="00076ECE"/>
    <w:rsid w:val="0009483C"/>
    <w:rsid w:val="000A2DE0"/>
    <w:rsid w:val="000E08A2"/>
    <w:rsid w:val="000E6F85"/>
    <w:rsid w:val="000F39CF"/>
    <w:rsid w:val="000F54B3"/>
    <w:rsid w:val="000F784E"/>
    <w:rsid w:val="00111675"/>
    <w:rsid w:val="001312CC"/>
    <w:rsid w:val="00141C01"/>
    <w:rsid w:val="00156740"/>
    <w:rsid w:val="00157EA8"/>
    <w:rsid w:val="00165622"/>
    <w:rsid w:val="001762D4"/>
    <w:rsid w:val="00184660"/>
    <w:rsid w:val="001B45F8"/>
    <w:rsid w:val="001F07FC"/>
    <w:rsid w:val="00207040"/>
    <w:rsid w:val="0021067B"/>
    <w:rsid w:val="0021269A"/>
    <w:rsid w:val="0021403E"/>
    <w:rsid w:val="00243EDF"/>
    <w:rsid w:val="00246340"/>
    <w:rsid w:val="00251A4E"/>
    <w:rsid w:val="0026491D"/>
    <w:rsid w:val="00267869"/>
    <w:rsid w:val="00290F1D"/>
    <w:rsid w:val="002960BD"/>
    <w:rsid w:val="00297915"/>
    <w:rsid w:val="002B2479"/>
    <w:rsid w:val="002E59DA"/>
    <w:rsid w:val="00304C6E"/>
    <w:rsid w:val="00307DCA"/>
    <w:rsid w:val="003336E8"/>
    <w:rsid w:val="00344E3F"/>
    <w:rsid w:val="003456C0"/>
    <w:rsid w:val="00351F5B"/>
    <w:rsid w:val="00354C15"/>
    <w:rsid w:val="00357E4F"/>
    <w:rsid w:val="00366888"/>
    <w:rsid w:val="00371CFD"/>
    <w:rsid w:val="00375816"/>
    <w:rsid w:val="003813D5"/>
    <w:rsid w:val="003847F5"/>
    <w:rsid w:val="003867A1"/>
    <w:rsid w:val="0039459E"/>
    <w:rsid w:val="003A4BBE"/>
    <w:rsid w:val="003C3C74"/>
    <w:rsid w:val="003D02CF"/>
    <w:rsid w:val="003E10FE"/>
    <w:rsid w:val="003E47C1"/>
    <w:rsid w:val="003E79FF"/>
    <w:rsid w:val="003F5D81"/>
    <w:rsid w:val="0040019E"/>
    <w:rsid w:val="00421A19"/>
    <w:rsid w:val="00432C45"/>
    <w:rsid w:val="004403FC"/>
    <w:rsid w:val="0045559D"/>
    <w:rsid w:val="00470480"/>
    <w:rsid w:val="00476D93"/>
    <w:rsid w:val="00483B8A"/>
    <w:rsid w:val="00485BBD"/>
    <w:rsid w:val="00485E68"/>
    <w:rsid w:val="004906B0"/>
    <w:rsid w:val="00497783"/>
    <w:rsid w:val="004A1129"/>
    <w:rsid w:val="004C007A"/>
    <w:rsid w:val="004C0A23"/>
    <w:rsid w:val="004D01C2"/>
    <w:rsid w:val="004D0DFE"/>
    <w:rsid w:val="004D1BFB"/>
    <w:rsid w:val="004E4CB7"/>
    <w:rsid w:val="004F36A5"/>
    <w:rsid w:val="004F5E4D"/>
    <w:rsid w:val="004F642C"/>
    <w:rsid w:val="005055A7"/>
    <w:rsid w:val="00506EFB"/>
    <w:rsid w:val="00510480"/>
    <w:rsid w:val="005174CF"/>
    <w:rsid w:val="0057524E"/>
    <w:rsid w:val="00593B47"/>
    <w:rsid w:val="0059434A"/>
    <w:rsid w:val="00595FFE"/>
    <w:rsid w:val="00596405"/>
    <w:rsid w:val="005A18E9"/>
    <w:rsid w:val="005A23FD"/>
    <w:rsid w:val="005B28BE"/>
    <w:rsid w:val="005B35BA"/>
    <w:rsid w:val="005B7C7A"/>
    <w:rsid w:val="005C3CFC"/>
    <w:rsid w:val="005F3E04"/>
    <w:rsid w:val="00661401"/>
    <w:rsid w:val="00686ED3"/>
    <w:rsid w:val="006870F8"/>
    <w:rsid w:val="00687427"/>
    <w:rsid w:val="00690B0F"/>
    <w:rsid w:val="00694245"/>
    <w:rsid w:val="006A565F"/>
    <w:rsid w:val="006B0401"/>
    <w:rsid w:val="006C0169"/>
    <w:rsid w:val="007452FB"/>
    <w:rsid w:val="0076116D"/>
    <w:rsid w:val="00762658"/>
    <w:rsid w:val="00767DBA"/>
    <w:rsid w:val="00775BF8"/>
    <w:rsid w:val="00776A0F"/>
    <w:rsid w:val="0078339D"/>
    <w:rsid w:val="00785458"/>
    <w:rsid w:val="00785BC8"/>
    <w:rsid w:val="007B0287"/>
    <w:rsid w:val="007B752B"/>
    <w:rsid w:val="007C4C47"/>
    <w:rsid w:val="007C5EB6"/>
    <w:rsid w:val="007E1B6B"/>
    <w:rsid w:val="007E42BF"/>
    <w:rsid w:val="0080111A"/>
    <w:rsid w:val="00805800"/>
    <w:rsid w:val="008125DA"/>
    <w:rsid w:val="0081765E"/>
    <w:rsid w:val="00823B9B"/>
    <w:rsid w:val="00834396"/>
    <w:rsid w:val="008405AC"/>
    <w:rsid w:val="00844254"/>
    <w:rsid w:val="00844E08"/>
    <w:rsid w:val="00860BAE"/>
    <w:rsid w:val="00870EE5"/>
    <w:rsid w:val="00873502"/>
    <w:rsid w:val="008834F1"/>
    <w:rsid w:val="008928D8"/>
    <w:rsid w:val="008B1463"/>
    <w:rsid w:val="008C289B"/>
    <w:rsid w:val="008C4047"/>
    <w:rsid w:val="008C5307"/>
    <w:rsid w:val="008F5541"/>
    <w:rsid w:val="008F7DC6"/>
    <w:rsid w:val="00936BB3"/>
    <w:rsid w:val="00945056"/>
    <w:rsid w:val="009457FA"/>
    <w:rsid w:val="00953DB8"/>
    <w:rsid w:val="00954724"/>
    <w:rsid w:val="00954CAA"/>
    <w:rsid w:val="009614DF"/>
    <w:rsid w:val="00961ACD"/>
    <w:rsid w:val="009663E2"/>
    <w:rsid w:val="009724D1"/>
    <w:rsid w:val="009A5A3A"/>
    <w:rsid w:val="009B1517"/>
    <w:rsid w:val="009D0FD8"/>
    <w:rsid w:val="00A0399D"/>
    <w:rsid w:val="00A11352"/>
    <w:rsid w:val="00A268E8"/>
    <w:rsid w:val="00A304B9"/>
    <w:rsid w:val="00A32482"/>
    <w:rsid w:val="00A503E8"/>
    <w:rsid w:val="00A77271"/>
    <w:rsid w:val="00A804CE"/>
    <w:rsid w:val="00A86CF4"/>
    <w:rsid w:val="00A9555D"/>
    <w:rsid w:val="00AB677C"/>
    <w:rsid w:val="00AD72DE"/>
    <w:rsid w:val="00AD7951"/>
    <w:rsid w:val="00AE319D"/>
    <w:rsid w:val="00AF3609"/>
    <w:rsid w:val="00B03AB3"/>
    <w:rsid w:val="00B21DE5"/>
    <w:rsid w:val="00B25BE7"/>
    <w:rsid w:val="00B30988"/>
    <w:rsid w:val="00B351F2"/>
    <w:rsid w:val="00B356E2"/>
    <w:rsid w:val="00B501C1"/>
    <w:rsid w:val="00B50CE6"/>
    <w:rsid w:val="00B56966"/>
    <w:rsid w:val="00B61612"/>
    <w:rsid w:val="00B637E5"/>
    <w:rsid w:val="00B7371A"/>
    <w:rsid w:val="00B86766"/>
    <w:rsid w:val="00B91FFF"/>
    <w:rsid w:val="00B9402A"/>
    <w:rsid w:val="00BB5D3B"/>
    <w:rsid w:val="00BB7870"/>
    <w:rsid w:val="00BB7DB8"/>
    <w:rsid w:val="00BC06F3"/>
    <w:rsid w:val="00BC7A9D"/>
    <w:rsid w:val="00BD6BEF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54C05"/>
    <w:rsid w:val="00C7310F"/>
    <w:rsid w:val="00C869EE"/>
    <w:rsid w:val="00C9055E"/>
    <w:rsid w:val="00CA0C85"/>
    <w:rsid w:val="00CA64E4"/>
    <w:rsid w:val="00CE611E"/>
    <w:rsid w:val="00CE641C"/>
    <w:rsid w:val="00CF0071"/>
    <w:rsid w:val="00CF711D"/>
    <w:rsid w:val="00D004FE"/>
    <w:rsid w:val="00D10655"/>
    <w:rsid w:val="00D10C7C"/>
    <w:rsid w:val="00D11ADA"/>
    <w:rsid w:val="00D14ACE"/>
    <w:rsid w:val="00D2329A"/>
    <w:rsid w:val="00D3589D"/>
    <w:rsid w:val="00D40074"/>
    <w:rsid w:val="00D46FBE"/>
    <w:rsid w:val="00D56D89"/>
    <w:rsid w:val="00D91F7A"/>
    <w:rsid w:val="00D93407"/>
    <w:rsid w:val="00D94CBC"/>
    <w:rsid w:val="00D95163"/>
    <w:rsid w:val="00D959A4"/>
    <w:rsid w:val="00DA176B"/>
    <w:rsid w:val="00DA223C"/>
    <w:rsid w:val="00DC1374"/>
    <w:rsid w:val="00E14FC2"/>
    <w:rsid w:val="00E15DAF"/>
    <w:rsid w:val="00E324DD"/>
    <w:rsid w:val="00E3463B"/>
    <w:rsid w:val="00E4022A"/>
    <w:rsid w:val="00E46D2F"/>
    <w:rsid w:val="00E50719"/>
    <w:rsid w:val="00E6178E"/>
    <w:rsid w:val="00E74C3D"/>
    <w:rsid w:val="00E830AC"/>
    <w:rsid w:val="00EB680F"/>
    <w:rsid w:val="00EC6E86"/>
    <w:rsid w:val="00ED5823"/>
    <w:rsid w:val="00ED68C2"/>
    <w:rsid w:val="00EE0C8A"/>
    <w:rsid w:val="00EE4067"/>
    <w:rsid w:val="00EE5717"/>
    <w:rsid w:val="00EE7380"/>
    <w:rsid w:val="00F31B60"/>
    <w:rsid w:val="00F4751E"/>
    <w:rsid w:val="00F57007"/>
    <w:rsid w:val="00F6095E"/>
    <w:rsid w:val="00F76D70"/>
    <w:rsid w:val="00FA3202"/>
    <w:rsid w:val="00FB4688"/>
    <w:rsid w:val="00FC2531"/>
    <w:rsid w:val="00FC6B05"/>
    <w:rsid w:val="00FE19F3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E611E"/>
    <w:rPr>
      <w:rFonts w:ascii="Garamond" w:hAnsi="Garamond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E611E"/>
    <w:rPr>
      <w:rFonts w:ascii="Garamond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A03B-7CB5-4BF6-ABE0-31338DC8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2015-06-30T14:01:00Z</cp:lastPrinted>
  <dcterms:created xsi:type="dcterms:W3CDTF">2018-02-23T20:07:00Z</dcterms:created>
  <dcterms:modified xsi:type="dcterms:W3CDTF">2018-02-23T20:07:00Z</dcterms:modified>
</cp:coreProperties>
</file>